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1C" w:rsidRPr="00496CE2" w:rsidRDefault="004B011C" w:rsidP="004B011C">
      <w:pPr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x-none"/>
        </w:rPr>
      </w:pPr>
    </w:p>
    <w:p w:rsidR="004B011C" w:rsidRPr="00945CBC" w:rsidRDefault="004B011C" w:rsidP="004B011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Smlouva o nájmu hrobového místa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uzavřená dle ustanovení § </w:t>
      </w:r>
      <w:smartTag w:uri="urn:schemas-microsoft-com:office:smarttags" w:element="metricconverter">
        <w:smartTagPr>
          <w:attr w:name="ProductID" w:val="2201 a"/>
        </w:smartTagPr>
        <w:r w:rsidRPr="00945CBC">
          <w:rPr>
            <w:rFonts w:ascii="Times New Roman" w:eastAsia="Times New Roman" w:hAnsi="Times New Roman"/>
            <w:sz w:val="24"/>
            <w:szCs w:val="24"/>
            <w:lang w:eastAsia="cs-CZ"/>
          </w:rPr>
          <w:t>2201 a</w:t>
        </w:r>
      </w:smartTag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následujících, kromě § 2230, zákona č. 89/2012 Sb., občanský zákoník, ve znění pozdějších předpisů a podle ustanovení § 25 zákona č. 256/2001 Sb., o pohřebnictví a o změně některých zákonů v platném znění (dále také „zákon o pohřebnictví“)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Městys Dešenice 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00255394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r w:rsidRPr="00A02E8A">
        <w:rPr>
          <w:rFonts w:ascii="Times New Roman" w:hAnsi="Times New Roman"/>
          <w:sz w:val="24"/>
          <w:szCs w:val="24"/>
        </w:rPr>
        <w:t>Dešenice 162, 340 22 Nýrsko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zastoupená starost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ou obce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 xml:space="preserve">PhDr. Lenkou Sýkorovou 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(dále jen „pronajímatel“)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jméno, </w:t>
      </w:r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příjmení: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.......................................................................................</w:t>
      </w:r>
      <w:proofErr w:type="gramEnd"/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datum </w:t>
      </w:r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narození: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.......................................................................................</w:t>
      </w:r>
      <w:proofErr w:type="gramEnd"/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adresa: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.......................................................................................</w:t>
      </w:r>
      <w:proofErr w:type="gramEnd"/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email/tel.: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.......................................................................................</w:t>
      </w:r>
      <w:proofErr w:type="gramEnd"/>
    </w:p>
    <w:p w:rsidR="004B011C" w:rsidRPr="00945CBC" w:rsidRDefault="004B011C" w:rsidP="004B0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(dále jen jako „nájemce“)</w:t>
      </w: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Předmět smlouvy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:rsidR="006F71BB" w:rsidRDefault="004B011C" w:rsidP="004B011C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Pronajímatel prohlašuje, že je výlučným vlastníkem pozemku </w:t>
      </w:r>
      <w:proofErr w:type="spellStart"/>
      <w:proofErr w:type="gramStart"/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……………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v k. </w:t>
      </w:r>
      <w:proofErr w:type="spell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Dešenice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o celkové výměře m² zapsaného na LV č. 10001 u Katastrálního úřadu pro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 xml:space="preserve">Plzeňský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kraj,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atastrální pracoviště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Klatovy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pro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 xml:space="preserve">obec a </w:t>
      </w:r>
      <w:proofErr w:type="spellStart"/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Dešenice</w:t>
      </w:r>
      <w:r w:rsidR="00232D4A">
        <w:rPr>
          <w:rFonts w:ascii="Times New Roman" w:eastAsia="Times New Roman" w:hAnsi="Times New Roman"/>
          <w:sz w:val="24"/>
          <w:szCs w:val="24"/>
          <w:lang w:eastAsia="cs-CZ"/>
        </w:rPr>
        <w:t xml:space="preserve">. Na předmětném pozemku se nachází veřejné pohřebiště, jehož provozovatelem je Městys Dešenice. </w:t>
      </w:r>
    </w:p>
    <w:p w:rsidR="004B011C" w:rsidRDefault="006F71BB" w:rsidP="004B011C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Předmětem této smlouvy je nájem hrobového místa na veřejném pohřebišti</w:t>
      </w:r>
      <w:r w:rsidR="00232D4A">
        <w:rPr>
          <w:rFonts w:ascii="Times New Roman" w:eastAsia="Times New Roman" w:hAnsi="Times New Roman"/>
          <w:sz w:val="24"/>
          <w:szCs w:val="24"/>
          <w:lang w:eastAsia="cs-CZ"/>
        </w:rPr>
        <w:t xml:space="preserve"> uvedeném shora, přičemž nájemní vztah sjednává se na </w:t>
      </w:r>
      <w:r w:rsidR="004B011C"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dobu určitou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, a to</w:t>
      </w:r>
      <w:r w:rsidR="00232D4A">
        <w:rPr>
          <w:rFonts w:ascii="Times New Roman" w:eastAsia="Times New Roman" w:hAnsi="Times New Roman"/>
          <w:sz w:val="24"/>
          <w:szCs w:val="24"/>
          <w:lang w:eastAsia="cs-CZ"/>
        </w:rPr>
        <w:t xml:space="preserve"> na dobu 15 let ode dne …………</w:t>
      </w:r>
      <w:proofErr w:type="gramStart"/>
      <w:r w:rsidR="00232D4A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</w:p>
    <w:p w:rsidR="00232D4A" w:rsidRPr="00945CBC" w:rsidRDefault="00232D4A" w:rsidP="00232D4A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Pronajímáno nájemci je toto hrobové místo: 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oddělení:……………………….  </w:t>
      </w:r>
      <w:proofErr w:type="gramStart"/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řada</w:t>
      </w:r>
      <w:proofErr w:type="gramEnd"/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: …………….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evidenční číslo: …………………….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plocha: cca </w:t>
      </w:r>
      <w:r w:rsidR="00232D4A">
        <w:rPr>
          <w:rFonts w:ascii="Times New Roman" w:eastAsia="Times New Roman" w:hAnsi="Times New Roman"/>
          <w:b/>
          <w:sz w:val="24"/>
          <w:szCs w:val="24"/>
          <w:lang w:eastAsia="cs-CZ"/>
        </w:rPr>
        <w:t>…</w:t>
      </w:r>
      <w:r w:rsidRPr="00945CBC"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  <w:t xml:space="preserve"> </w:t>
      </w: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m</w:t>
      </w:r>
      <w:r w:rsidRPr="00945CBC">
        <w:rPr>
          <w:rFonts w:ascii="Times New Roman" w:eastAsia="Times New Roman" w:hAnsi="Times New Roman"/>
          <w:b/>
          <w:sz w:val="24"/>
          <w:szCs w:val="24"/>
          <w:vertAlign w:val="superscript"/>
          <w:lang w:eastAsia="cs-CZ"/>
        </w:rPr>
        <w:t>2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počet hrobových míst: </w:t>
      </w:r>
      <w:r w:rsidR="00334EC8">
        <w:rPr>
          <w:rFonts w:ascii="Times New Roman" w:eastAsia="Times New Roman" w:hAnsi="Times New Roman"/>
          <w:b/>
          <w:sz w:val="24"/>
          <w:szCs w:val="24"/>
          <w:lang w:eastAsia="cs-CZ"/>
        </w:rPr>
        <w:t>……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popis hrobového zařízení </w:t>
      </w:r>
      <w:r w:rsidRPr="00945CBC">
        <w:rPr>
          <w:rFonts w:ascii="Times New Roman" w:eastAsia="Times New Roman" w:hAnsi="Times New Roman"/>
          <w:bCs/>
          <w:sz w:val="24"/>
          <w:szCs w:val="24"/>
          <w:lang w:eastAsia="cs-CZ"/>
        </w:rPr>
        <w:t>(vyplňte prosím)</w:t>
      </w: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:………………………………………</w:t>
      </w:r>
      <w:proofErr w:type="gramStart"/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…..</w:t>
      </w:r>
      <w:proofErr w:type="gramEnd"/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……………………………………………………………………………………………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945CBC">
        <w:rPr>
          <w:rFonts w:ascii="Times New Roman" w:eastAsia="Times New Roman" w:hAnsi="Times New Roman"/>
          <w:bCs/>
          <w:sz w:val="24"/>
          <w:szCs w:val="24"/>
          <w:lang w:eastAsia="cs-CZ"/>
        </w:rPr>
        <w:t>(rám, krycí deska, pomník, kříž, váza, lampa, socha)</w:t>
      </w:r>
    </w:p>
    <w:p w:rsidR="004B011C" w:rsidRPr="00945CB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  <w:r w:rsidRPr="00945CBC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Pr="00945CBC">
        <w:rPr>
          <w:rFonts w:ascii="Times New Roman" w:eastAsia="Times New Roman" w:hAnsi="Times New Roman"/>
          <w:sz w:val="23"/>
          <w:szCs w:val="23"/>
          <w:lang w:eastAsia="cs-CZ"/>
        </w:rPr>
        <w:t>(dále jen "předmět smlouvy" nebo "předmětné hrobové místo")</w:t>
      </w:r>
    </w:p>
    <w:p w:rsidR="004B011C" w:rsidRDefault="004B011C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232D4A" w:rsidRDefault="00232D4A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232D4A" w:rsidRDefault="00232D4A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232D4A" w:rsidRDefault="00232D4A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232D4A" w:rsidRDefault="00232D4A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232D4A" w:rsidRDefault="00232D4A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232D4A" w:rsidRPr="00945CBC" w:rsidRDefault="00232D4A" w:rsidP="004B011C">
      <w:pPr>
        <w:autoSpaceDE w:val="0"/>
        <w:autoSpaceDN w:val="0"/>
        <w:spacing w:after="0"/>
        <w:ind w:left="426"/>
        <w:rPr>
          <w:rFonts w:ascii="Times New Roman" w:eastAsia="Times New Roman" w:hAnsi="Times New Roman"/>
          <w:sz w:val="23"/>
          <w:szCs w:val="23"/>
          <w:lang w:eastAsia="cs-CZ"/>
        </w:rPr>
      </w:pPr>
    </w:p>
    <w:p w:rsidR="004B011C" w:rsidRPr="00945CBC" w:rsidRDefault="004B011C" w:rsidP="004B011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Obsah smlouvy</w:t>
      </w:r>
    </w:p>
    <w:p w:rsidR="004B011C" w:rsidRPr="00945CBC" w:rsidRDefault="00334EC8" w:rsidP="004B011C">
      <w:p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Touto nájemní smlouvou </w:t>
      </w:r>
      <w:r w:rsidR="004B011C" w:rsidRPr="00945CBC">
        <w:rPr>
          <w:rFonts w:ascii="Times New Roman" w:eastAsia="Times New Roman" w:hAnsi="Times New Roman"/>
          <w:bCs/>
          <w:sz w:val="24"/>
          <w:szCs w:val="24"/>
          <w:lang w:eastAsia="cs-CZ"/>
        </w:rPr>
        <w:t>pronajímatel přenech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ává </w:t>
      </w:r>
      <w:r w:rsidR="004B011C" w:rsidRPr="00945CB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nájemci hrobové místo </w:t>
      </w:r>
      <w:r w:rsidR="004B011C" w:rsidRPr="00945CBC">
        <w:rPr>
          <w:rFonts w:ascii="Times New Roman" w:eastAsia="Times New Roman" w:hAnsi="Times New Roman"/>
          <w:bCs/>
          <w:sz w:val="24"/>
          <w:szCs w:val="24"/>
          <w:lang w:eastAsia="cs-CZ"/>
        </w:rPr>
        <w:br/>
        <w:t xml:space="preserve">k dočasnému užívání na dobu </w:t>
      </w:r>
      <w:r w:rsidR="0053673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15 let </w:t>
      </w:r>
      <w:r w:rsidR="004B011C" w:rsidRPr="00945CBC">
        <w:rPr>
          <w:rFonts w:ascii="Times New Roman" w:eastAsia="Times New Roman" w:hAnsi="Times New Roman"/>
          <w:bCs/>
          <w:sz w:val="24"/>
          <w:szCs w:val="24"/>
          <w:lang w:eastAsia="cs-CZ"/>
        </w:rPr>
        <w:t>a nájemce se zavazuje platit za to pronajímateli nájemné a úhrady za služby spojené s nájmem.</w:t>
      </w:r>
    </w:p>
    <w:p w:rsidR="004B011C" w:rsidRDefault="004B011C" w:rsidP="004B011C">
      <w:p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6F71BB" w:rsidRPr="00945CBC" w:rsidRDefault="006F71BB" w:rsidP="004B011C">
      <w:p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Práva a povinnosti smluvních stran</w:t>
      </w:r>
    </w:p>
    <w:p w:rsidR="004B011C" w:rsidRPr="00945CBC" w:rsidRDefault="004B011C" w:rsidP="004B011C">
      <w:pPr>
        <w:numPr>
          <w:ilvl w:val="0"/>
          <w:numId w:val="7"/>
        </w:num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Pronajímatel před</w:t>
      </w:r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 xml:space="preserve">al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nájemci předmětné hrobové místo bez hrobového zařízení </w:t>
      </w:r>
      <w:proofErr w:type="gramStart"/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 xml:space="preserve">před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podpis</w:t>
      </w:r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>em</w:t>
      </w:r>
      <w:proofErr w:type="gramEnd"/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 xml:space="preserve"> této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smlouvy. Nájemce hrobové místo do nájmu přijímá, bere na vědomí, že je povinen zaplatit nájemné a služby spojené s nájmem dle této smlouvy a užívat předmět nájmu </w:t>
      </w:r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 xml:space="preserve">v souladu s účelem, ke kterému je sjednána, v souladu s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platným Řádem veřejné</w:t>
      </w:r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 xml:space="preserve">ho pohřebiště a právními předpisy.  </w:t>
      </w:r>
    </w:p>
    <w:p w:rsidR="004B011C" w:rsidRPr="004A6B71" w:rsidRDefault="004B011C" w:rsidP="004B011C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6B71">
        <w:rPr>
          <w:rFonts w:ascii="Times New Roman" w:eastAsia="Times New Roman" w:hAnsi="Times New Roman"/>
          <w:b/>
          <w:sz w:val="24"/>
          <w:szCs w:val="24"/>
          <w:lang w:eastAsia="cs-CZ"/>
        </w:rPr>
        <w:t>Pronajímatel se touto smlouvou zavazuje:</w:t>
      </w:r>
    </w:p>
    <w:p w:rsidR="004A6B71" w:rsidRDefault="004B011C" w:rsidP="004B011C">
      <w:p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a) provozovat veřejné pohřebiště, jehož součástí je předmětné hrobové místo nájemce, v souladu s platným Řádem veřejného pohřebiště, zákonem o pohřebnictví v</w:t>
      </w:r>
      <w:r w:rsidR="00021F82">
        <w:rPr>
          <w:rFonts w:ascii="Times New Roman" w:eastAsia="Times New Roman" w:hAnsi="Times New Roman"/>
          <w:sz w:val="24"/>
          <w:szCs w:val="24"/>
          <w:lang w:eastAsia="cs-CZ"/>
        </w:rPr>
        <w:t xml:space="preserve"> platném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znění</w:t>
      </w:r>
      <w:r w:rsidR="004A6B7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4B011C" w:rsidRPr="00945CBC" w:rsidRDefault="004A6B71" w:rsidP="004B011C">
      <w:p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) umožnit nájemci užívání hrobového místa, zařízení pohřebiště, zřízení hrobového zařízení hrobu a jeho opravu a údržbu a podmínek stanovených v Řádu veřejného pohřebiště </w:t>
      </w:r>
    </w:p>
    <w:p w:rsidR="004B011C" w:rsidRPr="00945CBC" w:rsidRDefault="004A6B71" w:rsidP="004B011C">
      <w:p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) prodloužit nájemní smlouvu na další dobu určitou, pokud o to nájemce požádá před uplynutím sjednané nájemní doby za předpokladu, že nájemce plní své povinnosti dané mu touto smlouvou a ustanovením § 25 odst. 4 zákona o pohřebnictví ve znění pozdějších předpisů a nemá dluh na nájemném nebo na úhradách za služby s nájmem spojené.</w:t>
      </w:r>
    </w:p>
    <w:p w:rsidR="004B011C" w:rsidRPr="00945CBC" w:rsidRDefault="004B011C" w:rsidP="004B011C">
      <w:pPr>
        <w:numPr>
          <w:ilvl w:val="0"/>
          <w:numId w:val="7"/>
        </w:num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Pronajímatel nezodpovídá za škody způsobené na hrobovém zařízení třetí osobou nebo vyšší mocí.</w:t>
      </w:r>
    </w:p>
    <w:p w:rsidR="004B011C" w:rsidRPr="004A6B71" w:rsidRDefault="004B011C" w:rsidP="004B011C">
      <w:pPr>
        <w:numPr>
          <w:ilvl w:val="0"/>
          <w:numId w:val="7"/>
        </w:num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6B71">
        <w:rPr>
          <w:rFonts w:ascii="Times New Roman" w:eastAsia="Times New Roman" w:hAnsi="Times New Roman"/>
          <w:b/>
          <w:sz w:val="24"/>
          <w:szCs w:val="24"/>
          <w:lang w:eastAsia="cs-CZ"/>
        </w:rPr>
        <w:t>Nájemce se touto smlouvou zavazuje:</w:t>
      </w:r>
    </w:p>
    <w:p w:rsidR="004B011C" w:rsidRPr="00945CB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užívat a udržovat pronajaté hrobové místo včetně hrobového zařízení v řádném stavu v souladu s platným Řádem veřejného pohřebiště a zákonem o pohřebnictví ve znění pozdějších předpisů tak, aby nebyla rušena nad obvyklou míru práva jiných nájemců či správce pohřebiště,</w:t>
      </w:r>
    </w:p>
    <w:p w:rsidR="004B011C" w:rsidRPr="00945CB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zřídit hrobové zařízení, včetně jeho úprav a změn, na základě písemné žádosti obsahující dokumentaci projektu a až po písemném vyjádření provozovatele pohřebiště,</w:t>
      </w:r>
    </w:p>
    <w:p w:rsidR="004B011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oznámit správci pohřebiště osobu, na kterou bylo převedeno vlastnické právo k hrobovému zařízení a další změny právních skutečností, které se udály za trvání účinnosti této nájemní smlouvy a údajů potřebných pro vedení evidence veřejného pohřebiště,</w:t>
      </w:r>
    </w:p>
    <w:p w:rsidR="00C41E51" w:rsidRPr="00945CBC" w:rsidRDefault="005E5BE7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oznámit správci pohřebiště informaci o uložení pohřbeného těla s identifikací osoby, která je takto pohřbena (tzv. pohřbení do země); nájemce se zavazuje postupovat při využití hrobového místa tak, aby vždy byla dodržena tlecí doba pohřebiště, která je 14 let podle schváleného Řádu veřejného pohřebiště </w:t>
      </w:r>
    </w:p>
    <w:p w:rsidR="004B011C" w:rsidRPr="00945CB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strpět v případě nutnosti v nezbytném rozsahu a na nezbytně nutnou dobu uložení zařízení potřebného pro vybudování, případně obnovu sousedního hrobového místa v nejbližším okolí svého pronajatého hrobového místa,</w:t>
      </w:r>
    </w:p>
    <w:p w:rsidR="004B011C" w:rsidRPr="00945CB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v případě vydání zákazu pohřbívání, nebo rozhodnutí o zrušení pohřebiště, plnit povinnosti stanovené zákonem o pohřebnictví a Řádem veřejného pohřebiště,</w:t>
      </w:r>
    </w:p>
    <w:p w:rsidR="004B011C" w:rsidRPr="00945CB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požádat o exhumaci jak nezpopelněných, tak zpopelněných lidských ostatků, a to pouze za podmínek stanovených zákonem o pohřebnictví a Řádem veřejného pohřebiště,</w:t>
      </w:r>
    </w:p>
    <w:p w:rsidR="004B011C" w:rsidRPr="00945CBC" w:rsidRDefault="004B011C" w:rsidP="004B011C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Podnájem hrobového místa nájemcem je zakázán.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Cena za nájem hrobového místa</w:t>
      </w:r>
    </w:p>
    <w:p w:rsidR="004B011C" w:rsidRPr="00945CBC" w:rsidRDefault="004B011C" w:rsidP="004B011C">
      <w:pPr>
        <w:numPr>
          <w:ilvl w:val="0"/>
          <w:numId w:val="1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Cena za nájem hrobového místa (dále jen "cena") se skládá z nájemného a z úhrad za služby spojené s nájmem. Cena je stanovena v Ceníku… schváleném radou obce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Dešenice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a byla sjednána v souladu s platným cenovým výměrem, vydaným Ministerstvem financí pod č. 01/2019.</w:t>
      </w:r>
    </w:p>
    <w:p w:rsidR="004B011C" w:rsidRPr="00945CBC" w:rsidRDefault="004B011C" w:rsidP="004B011C">
      <w:pPr>
        <w:numPr>
          <w:ilvl w:val="0"/>
          <w:numId w:val="1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Nájem a úhrada za služby spojené s nájmem jsou splatné předem jednorázově na dobu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15-ti let, a to nejpozději do 3 </w:t>
      </w:r>
      <w:r w:rsidR="00624266">
        <w:rPr>
          <w:rFonts w:ascii="Times New Roman" w:eastAsia="Times New Roman" w:hAnsi="Times New Roman"/>
          <w:sz w:val="24"/>
          <w:szCs w:val="24"/>
          <w:lang w:eastAsia="cs-CZ"/>
        </w:rPr>
        <w:t>dnů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ode dne podpisu této smlouvy na účet vedený </w:t>
      </w:r>
      <w:r w:rsidR="0010757E">
        <w:rPr>
          <w:rFonts w:ascii="Times New Roman" w:eastAsia="Times New Roman" w:hAnsi="Times New Roman"/>
          <w:sz w:val="24"/>
          <w:szCs w:val="24"/>
          <w:lang w:eastAsia="cs-CZ"/>
        </w:rPr>
        <w:t>……………..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10757E">
        <w:rPr>
          <w:rFonts w:ascii="Times New Roman" w:eastAsia="Times New Roman" w:hAnsi="Times New Roman"/>
          <w:sz w:val="24"/>
          <w:szCs w:val="24"/>
          <w:lang w:eastAsia="cs-CZ"/>
        </w:rPr>
        <w:t>.ú</w:t>
      </w:r>
      <w:proofErr w:type="spellEnd"/>
      <w:r w:rsidR="0010757E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10757E">
        <w:rPr>
          <w:rFonts w:ascii="Times New Roman" w:eastAsia="Times New Roman" w:hAnsi="Times New Roman"/>
          <w:sz w:val="24"/>
          <w:szCs w:val="24"/>
          <w:lang w:eastAsia="cs-CZ"/>
        </w:rPr>
        <w:t>……………….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nebo</w:t>
      </w:r>
      <w:proofErr w:type="gramEnd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v hotov</w:t>
      </w:r>
      <w:r w:rsidR="0010757E">
        <w:rPr>
          <w:rFonts w:ascii="Times New Roman" w:eastAsia="Times New Roman" w:hAnsi="Times New Roman"/>
          <w:sz w:val="24"/>
          <w:szCs w:val="24"/>
          <w:lang w:eastAsia="cs-CZ"/>
        </w:rPr>
        <w:t xml:space="preserve">osti na pokladně Úřadu Městyse Dešenice. </w:t>
      </w:r>
    </w:p>
    <w:p w:rsidR="004B011C" w:rsidRPr="00945CBC" w:rsidRDefault="004B011C" w:rsidP="004B011C">
      <w:pPr>
        <w:numPr>
          <w:ilvl w:val="0"/>
          <w:numId w:val="1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Cena za služby s nájmem spojené zahrnuje podíl nákladů na služby, které jsou dle zákona o pohřebnictví, nutné k zajištění řádného běžného provozu celého pohřebiště, jako údržba zeleně, komunikací, hřbitovního zařízení včetně spotřeby vody, sečení a úklid trávy, likvidace odpadů, provozu správy pohřebiště a vedení evidence.</w:t>
      </w:r>
    </w:p>
    <w:p w:rsidR="004B011C" w:rsidRPr="00945CBC" w:rsidRDefault="004B011C" w:rsidP="004B011C">
      <w:pPr>
        <w:numPr>
          <w:ilvl w:val="0"/>
          <w:numId w:val="1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Pronajímatel si vyhrazuje právo provést změnu ceny za nájem hrobového místa v případě výrazného nárůstu nákladů na služby. O změně ceny za nájem hrobového místa je pronajímatel povinen písemně předem informovat nájemce. Není-li mu trvalý pobyt nebo sídlo známo, uveřejní pronajímatel informaci o změně ceny za nájem hrobového místa předem na veřejném pohřebišti způsobem, který je v místě obvyklý.</w:t>
      </w:r>
    </w:p>
    <w:p w:rsidR="004B011C" w:rsidRPr="00945CBC" w:rsidRDefault="004B011C" w:rsidP="004B011C">
      <w:pPr>
        <w:numPr>
          <w:ilvl w:val="0"/>
          <w:numId w:val="1"/>
        </w:num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Cena je stanovena ve výši: nájemné </w:t>
      </w:r>
      <w:r w:rsidR="0053673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….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,- Kč/ m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cs-CZ"/>
        </w:rPr>
        <w:t>2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/rok</w:t>
      </w:r>
    </w:p>
    <w:p w:rsidR="004B011C" w:rsidRPr="00945CBC" w:rsidRDefault="004B011C" w:rsidP="004B011C">
      <w:pPr>
        <w:autoSpaceDE w:val="0"/>
        <w:autoSpaceDN w:val="0"/>
        <w:spacing w:before="240"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Služby spojené s nájmem 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>….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,- .Kč/ m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cs-CZ"/>
        </w:rPr>
        <w:t>2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/rok</w:t>
      </w:r>
    </w:p>
    <w:p w:rsidR="004B011C" w:rsidRPr="00945CBC" w:rsidRDefault="004B011C" w:rsidP="004B011C">
      <w:pPr>
        <w:autoSpaceDE w:val="0"/>
        <w:autoSpaceDN w:val="0"/>
        <w:spacing w:before="240"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Cena za nájem hrobového místa celkem 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>….</w:t>
      </w: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,- Kč/rok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B011C" w:rsidRPr="00945CBC" w:rsidRDefault="004B011C" w:rsidP="004B011C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spacing w:after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6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Skončení nájmu</w:t>
      </w:r>
    </w:p>
    <w:p w:rsidR="004B011C" w:rsidRPr="00945CBC" w:rsidRDefault="004B011C" w:rsidP="004B011C">
      <w:pPr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Nájem skončí:</w:t>
      </w:r>
    </w:p>
    <w:p w:rsidR="004B011C" w:rsidRPr="00945CBC" w:rsidRDefault="004B011C" w:rsidP="004B011C">
      <w:pPr>
        <w:numPr>
          <w:ilvl w:val="1"/>
          <w:numId w:val="4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dohodou smluvních stran</w:t>
      </w:r>
    </w:p>
    <w:p w:rsidR="004B011C" w:rsidRPr="00945CBC" w:rsidRDefault="00624266" w:rsidP="004B011C">
      <w:pPr>
        <w:numPr>
          <w:ilvl w:val="1"/>
          <w:numId w:val="4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výpovědí této 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smlouvy ze strany nájemce i bez uvedení důvodu za předpokladu, že na pronajatém hrobovém místě nejsou uloženy lidské ostatky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 dosud běžící 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tlecí době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výpovědní lhůta činí 1 rok </w:t>
      </w:r>
    </w:p>
    <w:p w:rsidR="004B011C" w:rsidRPr="00945CBC" w:rsidRDefault="00624266" w:rsidP="004B011C">
      <w:pPr>
        <w:numPr>
          <w:ilvl w:val="1"/>
          <w:numId w:val="4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výpovědí této 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smlouvy ze strany pronajímatele, jestliže nájemce neuhradí dlužné nájemné nebo úhradu za služby s nájmem spojené do 3 měsíců ode dne splatnosti nebo je-li hrobové místo užíváno v rozporu s touto smlouvou, pokud na pronajatém hrobovém místě nejsou uloženy lidské ostatky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 dosud běžící 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>tlecí době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výpověď činí 3 měsíci </w:t>
      </w:r>
    </w:p>
    <w:p w:rsidR="004B011C" w:rsidRPr="00945CBC" w:rsidRDefault="004B011C" w:rsidP="004B011C">
      <w:pPr>
        <w:numPr>
          <w:ilvl w:val="1"/>
          <w:numId w:val="4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rozhodnutím o zrušení veřejného pohřebiště dle ustanovení § 24 zákona o pohřebnictví</w:t>
      </w:r>
    </w:p>
    <w:p w:rsidR="004B011C" w:rsidRPr="00945CBC" w:rsidRDefault="004B011C" w:rsidP="004B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Nájem neskončí dříve, než uplyne stanovená tlecí doba uložených lidských ostatků.</w:t>
      </w:r>
    </w:p>
    <w:p w:rsidR="004B011C" w:rsidRDefault="004B011C" w:rsidP="004B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4266" w:rsidRDefault="00624266" w:rsidP="004B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4266" w:rsidRPr="00945CBC" w:rsidRDefault="00624266" w:rsidP="004B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968CE" w:rsidRDefault="004B011C" w:rsidP="004B011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</w:t>
      </w:r>
      <w:r w:rsidR="000968CE">
        <w:rPr>
          <w:rFonts w:ascii="Times New Roman" w:eastAsia="Times New Roman" w:hAnsi="Times New Roman"/>
          <w:sz w:val="24"/>
          <w:szCs w:val="24"/>
          <w:lang w:eastAsia="cs-CZ"/>
        </w:rPr>
        <w:t xml:space="preserve">výpovědi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smlouvy nájemcem </w:t>
      </w:r>
      <w:r w:rsidR="000968CE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končí nájemní </w:t>
      </w:r>
      <w:r w:rsidR="000968CE">
        <w:rPr>
          <w:rFonts w:ascii="Times New Roman" w:eastAsia="Times New Roman" w:hAnsi="Times New Roman"/>
          <w:sz w:val="24"/>
          <w:szCs w:val="24"/>
          <w:lang w:eastAsia="cs-CZ"/>
        </w:rPr>
        <w:t xml:space="preserve">vztah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dnem, ve kterém nájemce prokazatelně předal vyklizené hrobové místo provozovateli veřejného pohřebiště.  </w:t>
      </w:r>
    </w:p>
    <w:p w:rsidR="000968CE" w:rsidRDefault="000968CE" w:rsidP="000968CE">
      <w:pPr>
        <w:autoSpaceDE w:val="0"/>
        <w:autoSpaceDN w:val="0"/>
        <w:spacing w:before="12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výpovědi dané pronajímatelem platí ve vztahu k doručování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ustanovení § </w:t>
      </w:r>
      <w:r w:rsidR="004B011C"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573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občanského zákoníku a výpověď bude doručována na adresu uvedenou v této smlouvě, pokud nájemce v průběhu trvání nájemního vztahu nesdělí písemně adresu jinou. </w:t>
      </w:r>
    </w:p>
    <w:p w:rsidR="004B011C" w:rsidRPr="00945CBC" w:rsidRDefault="004B011C" w:rsidP="000968CE">
      <w:pPr>
        <w:autoSpaceDE w:val="0"/>
        <w:autoSpaceDN w:val="0"/>
        <w:spacing w:before="12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V případě smrti nájemce, právo nájmu hrobového místa přechází na osobu, kterou nájemce určil. Není-li přechod nájmu na určenou osobu možný, anebo neurčil-li nájemce nikoho, přechází právo nájmu na jeho manžela, není-li ho, na jeho děti, není-li jich, na jeho rodiče, není-li jich, na jeho sourozence; nežijí-li, pak na jejich děti. Není-li přechod práva nájmu na žádnou z těchto osob možný, přechází právo nájmu na dědice zemřelého. Pokud právo nájmu hrobového místa přešlo na dědice, je povinen </w:t>
      </w:r>
      <w:r w:rsidR="00A542FD">
        <w:rPr>
          <w:rFonts w:ascii="Times New Roman" w:eastAsia="Times New Roman" w:hAnsi="Times New Roman"/>
          <w:sz w:val="24"/>
          <w:szCs w:val="24"/>
          <w:lang w:eastAsia="cs-CZ"/>
        </w:rPr>
        <w:t xml:space="preserve">svoji legitimace prokázat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usnesením dědického soudu. Osoba, na niž právo nájmu přešlo, je povinna sdělit provozovateli pohřebiště bez zbytečného odkladu údaje potřebné pro vedení evidence veřejného pohřebiště.</w:t>
      </w:r>
    </w:p>
    <w:p w:rsidR="004B011C" w:rsidRPr="00945CBC" w:rsidRDefault="004B011C" w:rsidP="004B011C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V případě úmrtí nájemce nájemní smlouva přechází na (prosíme, vyplňte):</w:t>
      </w:r>
    </w:p>
    <w:p w:rsidR="004B011C" w:rsidRPr="00945CBC" w:rsidRDefault="004B011C" w:rsidP="004B011C">
      <w:pPr>
        <w:spacing w:before="120" w:after="0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Jméno a příjmení: ………………………………………………………………………………</w:t>
      </w:r>
    </w:p>
    <w:p w:rsidR="004B011C" w:rsidRPr="00945CBC" w:rsidRDefault="004B011C" w:rsidP="004B011C">
      <w:pPr>
        <w:spacing w:before="120" w:after="0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Datum narození:……………………………………………………………</w:t>
      </w:r>
    </w:p>
    <w:p w:rsidR="004B011C" w:rsidRPr="00945CBC" w:rsidRDefault="004B011C" w:rsidP="004B011C">
      <w:pPr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Adresa: …………………………………………………………………</w:t>
      </w:r>
      <w:proofErr w:type="gramStart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</w:p>
    <w:p w:rsidR="00A542FD" w:rsidRDefault="00A542FD" w:rsidP="004B011C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Pokud nájemce nebo ten, na koho přešlo vlastnictví k hrobovému zařízení, hrobové zařízení neodstraní a nepřevezme do 1 roku ode dne doručení písemné výzvy pronajímatele, příp. ode dne jejího vyvěšení na veřejném pohřebišti a na webových stránkách obce bude s ním </w:t>
      </w:r>
      <w:r w:rsidR="00A542FD">
        <w:rPr>
          <w:rFonts w:ascii="Times New Roman" w:eastAsia="Times New Roman" w:hAnsi="Times New Roman"/>
          <w:sz w:val="24"/>
          <w:szCs w:val="24"/>
          <w:lang w:eastAsia="cs-CZ"/>
        </w:rPr>
        <w:t xml:space="preserve">naloženo jako s věcí opuštěnou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(počíná běžet tzv. čekací doba pro opuštěnost dle občanského zákoníku).</w:t>
      </w:r>
    </w:p>
    <w:p w:rsidR="004B011C" w:rsidRPr="00945CBC" w:rsidRDefault="004B011C" w:rsidP="004B011C">
      <w:pPr>
        <w:spacing w:before="120"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6"/>
        </w:numPr>
        <w:autoSpaceDE w:val="0"/>
        <w:autoSpaceDN w:val="0"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b/>
          <w:sz w:val="24"/>
          <w:szCs w:val="24"/>
          <w:lang w:eastAsia="cs-CZ"/>
        </w:rPr>
        <w:t>Ostatní a závěrečná ustanovení</w:t>
      </w:r>
    </w:p>
    <w:p w:rsidR="004B011C" w:rsidRPr="00945CBC" w:rsidRDefault="004B011C" w:rsidP="004B011C">
      <w:pPr>
        <w:numPr>
          <w:ilvl w:val="0"/>
          <w:numId w:val="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Tato smlouva nabývá účinnosti dnem podpisu oběma smluvními stranami. Lze ji měnit pouze písemnými dodatky. Smlouva byla sepsána ve 2 (dvou) vyhotoveních, z nichž 1 (jedno) vyhotovení obdrží pronajímatel a 1 (jedno) vyhotovení nájemce.</w:t>
      </w:r>
    </w:p>
    <w:p w:rsidR="00D702AC" w:rsidRDefault="004B011C" w:rsidP="004B011C">
      <w:pPr>
        <w:numPr>
          <w:ilvl w:val="0"/>
          <w:numId w:val="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Nájemce podpisem této smlouvy potvrzuje, že se seznámil s obsahem Řádu veřejného pohřebiště, který je umístěn na vývěsní desce hřbitova, je k dispozici k nahlédnutí </w:t>
      </w:r>
      <w:r w:rsidRPr="00D702AC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na </w:t>
      </w:r>
      <w:r w:rsidR="00D702AC" w:rsidRPr="00D702AC"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P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řadu </w:t>
      </w:r>
      <w:r w:rsidR="00D702AC" w:rsidRP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Městyse </w:t>
      </w:r>
      <w:r w:rsidR="006F71BB" w:rsidRPr="00D702AC">
        <w:rPr>
          <w:rFonts w:ascii="Times New Roman" w:eastAsia="Times New Roman" w:hAnsi="Times New Roman"/>
          <w:sz w:val="24"/>
          <w:szCs w:val="24"/>
          <w:lang w:eastAsia="cs-CZ"/>
        </w:rPr>
        <w:t>Dešenice</w:t>
      </w:r>
      <w:r w:rsidRP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 a je zveřejněn na webových stránkách </w:t>
      </w:r>
      <w:r w:rsid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městyse. </w:t>
      </w:r>
    </w:p>
    <w:p w:rsidR="004B011C" w:rsidRDefault="004B011C" w:rsidP="004B011C">
      <w:pPr>
        <w:numPr>
          <w:ilvl w:val="0"/>
          <w:numId w:val="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02AC">
        <w:rPr>
          <w:rFonts w:ascii="Times New Roman" w:eastAsia="Times New Roman" w:hAnsi="Times New Roman"/>
          <w:sz w:val="24"/>
          <w:szCs w:val="24"/>
          <w:lang w:eastAsia="cs-CZ"/>
        </w:rPr>
        <w:t>V podrobnostech touto smlouvou blíže neupravených se tento smluvní vztah řídí občanským zákoníkem, zákonem o pohřebnictví a Řádem veřejného pohřebiště.</w:t>
      </w:r>
    </w:p>
    <w:p w:rsidR="00D702AC" w:rsidRDefault="00D702AC" w:rsidP="00D702A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02AC" w:rsidRDefault="00D702AC" w:rsidP="00D702A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02AC" w:rsidRDefault="00D702AC" w:rsidP="00D702A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02AC" w:rsidRPr="00D702AC" w:rsidRDefault="00D702AC" w:rsidP="00D702A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numPr>
          <w:ilvl w:val="0"/>
          <w:numId w:val="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Vzor této smlouvy byl schválen </w:t>
      </w:r>
      <w:proofErr w:type="spellStart"/>
      <w:r w:rsidR="00D702AC">
        <w:rPr>
          <w:rFonts w:ascii="Times New Roman" w:eastAsia="Times New Roman" w:hAnsi="Times New Roman"/>
          <w:sz w:val="24"/>
          <w:szCs w:val="24"/>
          <w:lang w:eastAsia="cs-CZ"/>
        </w:rPr>
        <w:t>Zastupitelstvm</w:t>
      </w:r>
      <w:proofErr w:type="spellEnd"/>
      <w:r w:rsid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/Radou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02AC">
        <w:rPr>
          <w:rFonts w:ascii="Times New Roman" w:eastAsia="Times New Roman" w:hAnsi="Times New Roman"/>
          <w:sz w:val="24"/>
          <w:szCs w:val="24"/>
          <w:lang w:eastAsia="cs-CZ"/>
        </w:rPr>
        <w:t xml:space="preserve">Městyse </w:t>
      </w:r>
      <w:r w:rsidR="006F71BB">
        <w:rPr>
          <w:rFonts w:ascii="Times New Roman" w:eastAsia="Times New Roman" w:hAnsi="Times New Roman"/>
          <w:sz w:val="24"/>
          <w:szCs w:val="24"/>
          <w:lang w:eastAsia="cs-CZ"/>
        </w:rPr>
        <w:t>Dešenice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dne 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usnesením č. 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B011C" w:rsidRPr="00945CBC" w:rsidRDefault="004B011C" w:rsidP="004B011C">
      <w:p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proofErr w:type="gramStart"/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 xml:space="preserve">Dešenicích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dne</w:t>
      </w:r>
      <w:proofErr w:type="gramEnd"/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…….…….                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53673A">
        <w:rPr>
          <w:rFonts w:ascii="Times New Roman" w:eastAsia="Times New Roman" w:hAnsi="Times New Roman"/>
          <w:sz w:val="24"/>
          <w:szCs w:val="24"/>
          <w:lang w:eastAsia="cs-CZ"/>
        </w:rPr>
        <w:t xml:space="preserve"> Dešenicích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dne…………</w:t>
      </w:r>
    </w:p>
    <w:p w:rsidR="004B011C" w:rsidRPr="00945CBC" w:rsidRDefault="004B011C" w:rsidP="004B011C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11C" w:rsidRPr="00945CBC" w:rsidRDefault="004B011C" w:rsidP="004B011C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............................................................</w:t>
      </w:r>
    </w:p>
    <w:p w:rsidR="004B011C" w:rsidRPr="00945CBC" w:rsidRDefault="004B011C" w:rsidP="004B011C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pronajímatel</w:t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45CB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nájemce</w:t>
      </w:r>
    </w:p>
    <w:p w:rsidR="004B011C" w:rsidRPr="00945CBC" w:rsidRDefault="004B011C" w:rsidP="004B011C">
      <w:p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439BB" w:rsidRDefault="005439BB"/>
    <w:sectPr w:rsidR="0054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AE1"/>
    <w:multiLevelType w:val="hybridMultilevel"/>
    <w:tmpl w:val="BAA01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7001C"/>
    <w:multiLevelType w:val="hybridMultilevel"/>
    <w:tmpl w:val="DBD2B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C6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347A1"/>
    <w:multiLevelType w:val="hybridMultilevel"/>
    <w:tmpl w:val="0D48E22C"/>
    <w:lvl w:ilvl="0" w:tplc="3B68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4071F"/>
    <w:multiLevelType w:val="hybridMultilevel"/>
    <w:tmpl w:val="FE906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2615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75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CD2FE7"/>
    <w:multiLevelType w:val="hybridMultilevel"/>
    <w:tmpl w:val="902674F6"/>
    <w:lvl w:ilvl="0" w:tplc="413E4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05912"/>
    <w:multiLevelType w:val="hybridMultilevel"/>
    <w:tmpl w:val="9E78D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1C"/>
    <w:rsid w:val="00021F82"/>
    <w:rsid w:val="000968CE"/>
    <w:rsid w:val="0010757E"/>
    <w:rsid w:val="00232D4A"/>
    <w:rsid w:val="00334EC8"/>
    <w:rsid w:val="004A6B71"/>
    <w:rsid w:val="004B011C"/>
    <w:rsid w:val="0053673A"/>
    <w:rsid w:val="005439BB"/>
    <w:rsid w:val="005E5BE7"/>
    <w:rsid w:val="00624266"/>
    <w:rsid w:val="006F71BB"/>
    <w:rsid w:val="00A542FD"/>
    <w:rsid w:val="00C41E51"/>
    <w:rsid w:val="00D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/>
  <cp:revision>1</cp:revision>
  <dcterms:created xsi:type="dcterms:W3CDTF">2023-11-03T07:56:00Z</dcterms:created>
</cp:coreProperties>
</file>